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3A" w:rsidRPr="00AC2D3A" w:rsidRDefault="00986FF9" w:rsidP="00AC2D3A">
      <w:pPr>
        <w:keepNext/>
        <w:widowControl w:val="0"/>
        <w:suppressAutoHyphens/>
        <w:jc w:val="center"/>
        <w:outlineLvl w:val="0"/>
        <w:rPr>
          <w:rFonts w:eastAsia="Times New Roman" w:cs="Arial"/>
          <w:b/>
          <w:noProof/>
          <w:sz w:val="44"/>
          <w:szCs w:val="44"/>
        </w:rPr>
      </w:pPr>
      <w:bookmarkStart w:id="0" w:name="_GoBack"/>
      <w:bookmarkEnd w:id="0"/>
      <w:r w:rsidRPr="00AC2D3A">
        <w:rPr>
          <w:rFonts w:eastAsia="Times New Roman" w:cs="Arial"/>
          <w:b/>
          <w:noProof/>
          <w:sz w:val="44"/>
          <w:szCs w:val="44"/>
          <w:lang w:eastAsia="en-GB"/>
        </w:rPr>
        <w:drawing>
          <wp:anchor distT="0" distB="0" distL="114300" distR="114300" simplePos="0" relativeHeight="251658240" behindDoc="1" locked="0" layoutInCell="1" allowOverlap="1" wp14:anchorId="6BBBC868" wp14:editId="1E042A48">
            <wp:simplePos x="0" y="0"/>
            <wp:positionH relativeFrom="column">
              <wp:posOffset>2148840</wp:posOffset>
            </wp:positionH>
            <wp:positionV relativeFrom="paragraph">
              <wp:posOffset>505460</wp:posOffset>
            </wp:positionV>
            <wp:extent cx="1338580" cy="1377950"/>
            <wp:effectExtent l="0" t="0" r="0" b="0"/>
            <wp:wrapTight wrapText="bothSides">
              <wp:wrapPolygon edited="0">
                <wp:start x="0" y="0"/>
                <wp:lineTo x="0" y="21202"/>
                <wp:lineTo x="21211" y="21202"/>
                <wp:lineTo x="21211" y="0"/>
                <wp:lineTo x="0" y="0"/>
              </wp:wrapPolygon>
            </wp:wrapTight>
            <wp:docPr id="1" name="Picture 1" descr="C:\Users\Sam\Desktop\Pics\Hadleigh_Infants_School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Desktop\Pics\Hadleigh_Infants_School_Logo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58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3A" w:rsidRPr="00AC2D3A">
        <w:rPr>
          <w:rFonts w:eastAsia="Times New Roman" w:cs="Arial"/>
          <w:b/>
          <w:noProof/>
          <w:sz w:val="44"/>
          <w:szCs w:val="44"/>
        </w:rPr>
        <w:t>HADLEIGH INFANT &amp; NURSERY SCHOOL</w:t>
      </w:r>
    </w:p>
    <w:p w:rsidR="00986FF9" w:rsidRDefault="00986FF9" w:rsidP="00AC2D3A">
      <w:pPr>
        <w:keepNext/>
        <w:widowControl w:val="0"/>
        <w:suppressAutoHyphens/>
        <w:jc w:val="center"/>
        <w:outlineLvl w:val="0"/>
        <w:rPr>
          <w:rFonts w:eastAsia="Times New Roman" w:cs="Arial"/>
          <w:b/>
          <w:noProof/>
          <w:sz w:val="44"/>
          <w:szCs w:val="44"/>
        </w:rPr>
      </w:pPr>
    </w:p>
    <w:p w:rsidR="00986FF9" w:rsidRDefault="00986FF9" w:rsidP="00AC2D3A">
      <w:pPr>
        <w:keepNext/>
        <w:widowControl w:val="0"/>
        <w:suppressAutoHyphens/>
        <w:jc w:val="center"/>
        <w:outlineLvl w:val="0"/>
        <w:rPr>
          <w:rFonts w:eastAsia="Times New Roman" w:cs="Arial"/>
          <w:b/>
          <w:noProof/>
          <w:sz w:val="44"/>
          <w:szCs w:val="44"/>
        </w:rPr>
      </w:pPr>
    </w:p>
    <w:p w:rsidR="00986FF9" w:rsidRDefault="00986FF9" w:rsidP="00AC2D3A">
      <w:pPr>
        <w:keepNext/>
        <w:widowControl w:val="0"/>
        <w:suppressAutoHyphens/>
        <w:jc w:val="center"/>
        <w:outlineLvl w:val="0"/>
        <w:rPr>
          <w:rFonts w:eastAsia="Times New Roman" w:cs="Arial"/>
          <w:b/>
          <w:noProof/>
          <w:sz w:val="44"/>
          <w:szCs w:val="44"/>
        </w:rPr>
      </w:pPr>
    </w:p>
    <w:p w:rsidR="00AC2D3A" w:rsidRPr="00AC2D3A" w:rsidRDefault="00AC2D3A" w:rsidP="00AC2D3A">
      <w:pPr>
        <w:keepNext/>
        <w:widowControl w:val="0"/>
        <w:suppressAutoHyphens/>
        <w:jc w:val="center"/>
        <w:outlineLvl w:val="0"/>
        <w:rPr>
          <w:rFonts w:eastAsia="Times New Roman" w:cs="Arial"/>
          <w:b/>
          <w:noProof/>
          <w:sz w:val="44"/>
          <w:szCs w:val="44"/>
        </w:rPr>
      </w:pPr>
      <w:r w:rsidRPr="00AC2D3A">
        <w:rPr>
          <w:rFonts w:eastAsia="Times New Roman" w:cs="Arial"/>
          <w:b/>
          <w:noProof/>
          <w:sz w:val="44"/>
          <w:szCs w:val="44"/>
        </w:rPr>
        <w:t>Admissions Policy</w:t>
      </w:r>
    </w:p>
    <w:tbl>
      <w:tblPr>
        <w:tblStyle w:val="TableGrid"/>
        <w:tblpPr w:leftFromText="180" w:rightFromText="180" w:vertAnchor="text" w:horzAnchor="margin" w:tblpX="108" w:tblpY="1028"/>
        <w:tblOverlap w:val="never"/>
        <w:tblW w:w="0" w:type="auto"/>
        <w:tblLook w:val="04A0" w:firstRow="1" w:lastRow="0" w:firstColumn="1" w:lastColumn="0" w:noHBand="0" w:noVBand="1"/>
      </w:tblPr>
      <w:tblGrid>
        <w:gridCol w:w="3447"/>
        <w:gridCol w:w="5684"/>
      </w:tblGrid>
      <w:tr w:rsidR="00986FF9" w:rsidTr="00986FF9">
        <w:trPr>
          <w:trHeight w:val="51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Version</w:t>
            </w:r>
          </w:p>
        </w:tc>
        <w:tc>
          <w:tcPr>
            <w:tcW w:w="5684" w:type="dxa"/>
            <w:vAlign w:val="center"/>
          </w:tcPr>
          <w:p w:rsidR="00986FF9" w:rsidRDefault="00986FF9" w:rsidP="00986FF9">
            <w:pPr>
              <w:jc w:val="center"/>
              <w:rPr>
                <w:rFonts w:eastAsia="Times New Roman" w:cs="Arial"/>
                <w:b/>
                <w:sz w:val="24"/>
                <w:szCs w:val="24"/>
              </w:rPr>
            </w:pPr>
          </w:p>
        </w:tc>
      </w:tr>
      <w:tr w:rsidR="00986FF9" w:rsidTr="00986FF9">
        <w:trPr>
          <w:trHeight w:val="49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Document authors</w:t>
            </w:r>
          </w:p>
        </w:tc>
        <w:tc>
          <w:tcPr>
            <w:tcW w:w="5684" w:type="dxa"/>
            <w:vAlign w:val="center"/>
          </w:tcPr>
          <w:p w:rsidR="00986FF9" w:rsidRDefault="00986FF9" w:rsidP="00986FF9">
            <w:pPr>
              <w:jc w:val="center"/>
              <w:rPr>
                <w:rFonts w:eastAsia="Times New Roman" w:cs="Arial"/>
                <w:b/>
                <w:sz w:val="24"/>
                <w:szCs w:val="24"/>
              </w:rPr>
            </w:pPr>
            <w:r>
              <w:rPr>
                <w:rFonts w:eastAsia="Times New Roman" w:cs="Arial"/>
                <w:b/>
                <w:sz w:val="24"/>
                <w:szCs w:val="24"/>
              </w:rPr>
              <w:t>Sam Proctor</w:t>
            </w:r>
          </w:p>
        </w:tc>
      </w:tr>
      <w:tr w:rsidR="00986FF9" w:rsidTr="00986FF9">
        <w:trPr>
          <w:trHeight w:val="49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Other contributors</w:t>
            </w:r>
          </w:p>
        </w:tc>
        <w:tc>
          <w:tcPr>
            <w:tcW w:w="5684" w:type="dxa"/>
            <w:vAlign w:val="center"/>
          </w:tcPr>
          <w:p w:rsidR="00986FF9" w:rsidRDefault="00986FF9" w:rsidP="00986FF9">
            <w:pPr>
              <w:jc w:val="center"/>
              <w:rPr>
                <w:rFonts w:eastAsia="Times New Roman" w:cs="Arial"/>
                <w:b/>
                <w:sz w:val="24"/>
                <w:szCs w:val="24"/>
              </w:rPr>
            </w:pPr>
          </w:p>
        </w:tc>
      </w:tr>
      <w:tr w:rsidR="00986FF9" w:rsidTr="00986FF9">
        <w:trPr>
          <w:trHeight w:val="49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Policy produced (date)</w:t>
            </w:r>
          </w:p>
        </w:tc>
        <w:tc>
          <w:tcPr>
            <w:tcW w:w="5684" w:type="dxa"/>
            <w:vAlign w:val="center"/>
          </w:tcPr>
          <w:p w:rsidR="00986FF9" w:rsidRDefault="00986FF9" w:rsidP="00986FF9">
            <w:pPr>
              <w:jc w:val="center"/>
              <w:rPr>
                <w:rFonts w:eastAsia="Times New Roman" w:cs="Arial"/>
                <w:b/>
                <w:sz w:val="24"/>
                <w:szCs w:val="24"/>
              </w:rPr>
            </w:pPr>
            <w:r>
              <w:rPr>
                <w:rFonts w:eastAsia="Times New Roman" w:cs="Arial"/>
                <w:b/>
                <w:sz w:val="24"/>
                <w:szCs w:val="24"/>
              </w:rPr>
              <w:t>December 2017</w:t>
            </w:r>
          </w:p>
        </w:tc>
      </w:tr>
      <w:tr w:rsidR="00986FF9" w:rsidTr="00986FF9">
        <w:trPr>
          <w:trHeight w:val="49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Policy approved by</w:t>
            </w:r>
          </w:p>
        </w:tc>
        <w:tc>
          <w:tcPr>
            <w:tcW w:w="5684" w:type="dxa"/>
            <w:vAlign w:val="center"/>
          </w:tcPr>
          <w:p w:rsidR="00986FF9" w:rsidRDefault="003921D7" w:rsidP="00986FF9">
            <w:pPr>
              <w:jc w:val="center"/>
              <w:rPr>
                <w:rFonts w:eastAsia="Times New Roman" w:cs="Arial"/>
                <w:b/>
                <w:sz w:val="24"/>
                <w:szCs w:val="24"/>
              </w:rPr>
            </w:pPr>
            <w:r>
              <w:rPr>
                <w:rFonts w:eastAsia="Times New Roman" w:cs="Arial"/>
                <w:b/>
                <w:sz w:val="24"/>
                <w:szCs w:val="24"/>
              </w:rPr>
              <w:t>Curriculum</w:t>
            </w:r>
          </w:p>
        </w:tc>
      </w:tr>
      <w:tr w:rsidR="00986FF9" w:rsidTr="00986FF9">
        <w:trPr>
          <w:trHeight w:val="51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Policy approved (date)</w:t>
            </w:r>
          </w:p>
        </w:tc>
        <w:tc>
          <w:tcPr>
            <w:tcW w:w="5684" w:type="dxa"/>
            <w:vAlign w:val="center"/>
          </w:tcPr>
          <w:p w:rsidR="00986FF9" w:rsidRDefault="003921D7" w:rsidP="00986FF9">
            <w:pPr>
              <w:jc w:val="center"/>
              <w:rPr>
                <w:rFonts w:eastAsia="Times New Roman" w:cs="Arial"/>
                <w:b/>
                <w:sz w:val="24"/>
                <w:szCs w:val="24"/>
              </w:rPr>
            </w:pPr>
            <w:r>
              <w:rPr>
                <w:rFonts w:eastAsia="Times New Roman" w:cs="Arial"/>
                <w:b/>
                <w:sz w:val="24"/>
                <w:szCs w:val="24"/>
              </w:rPr>
              <w:t>1/2/2018</w:t>
            </w:r>
          </w:p>
        </w:tc>
      </w:tr>
      <w:tr w:rsidR="00986FF9" w:rsidTr="00986FF9">
        <w:trPr>
          <w:trHeight w:val="49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Policy to be reviewed (date)</w:t>
            </w:r>
          </w:p>
        </w:tc>
        <w:tc>
          <w:tcPr>
            <w:tcW w:w="5684" w:type="dxa"/>
            <w:vAlign w:val="center"/>
          </w:tcPr>
          <w:p w:rsidR="00986FF9" w:rsidRDefault="003921D7" w:rsidP="00986FF9">
            <w:pPr>
              <w:jc w:val="center"/>
              <w:rPr>
                <w:rFonts w:eastAsia="Times New Roman" w:cs="Arial"/>
                <w:b/>
                <w:sz w:val="24"/>
                <w:szCs w:val="24"/>
              </w:rPr>
            </w:pPr>
            <w:r>
              <w:rPr>
                <w:rFonts w:eastAsia="Times New Roman" w:cs="Arial"/>
                <w:b/>
                <w:sz w:val="24"/>
                <w:szCs w:val="24"/>
              </w:rPr>
              <w:t>1/2/2019</w:t>
            </w:r>
          </w:p>
        </w:tc>
      </w:tr>
      <w:tr w:rsidR="00986FF9" w:rsidTr="00986FF9">
        <w:trPr>
          <w:trHeight w:val="49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Other related policies</w:t>
            </w:r>
          </w:p>
        </w:tc>
        <w:tc>
          <w:tcPr>
            <w:tcW w:w="5684" w:type="dxa"/>
            <w:vAlign w:val="center"/>
          </w:tcPr>
          <w:p w:rsidR="00986FF9" w:rsidRDefault="00986FF9" w:rsidP="00986FF9">
            <w:pPr>
              <w:jc w:val="center"/>
              <w:rPr>
                <w:rFonts w:eastAsia="Times New Roman" w:cs="Arial"/>
                <w:b/>
                <w:sz w:val="24"/>
                <w:szCs w:val="24"/>
              </w:rPr>
            </w:pPr>
          </w:p>
        </w:tc>
      </w:tr>
      <w:tr w:rsidR="00986FF9" w:rsidTr="00986FF9">
        <w:trPr>
          <w:trHeight w:val="513"/>
        </w:trPr>
        <w:tc>
          <w:tcPr>
            <w:tcW w:w="3447" w:type="dxa"/>
            <w:vAlign w:val="center"/>
          </w:tcPr>
          <w:p w:rsidR="00986FF9" w:rsidRDefault="00986FF9" w:rsidP="00986FF9">
            <w:pPr>
              <w:jc w:val="center"/>
              <w:rPr>
                <w:rFonts w:eastAsia="Times New Roman" w:cs="Arial"/>
                <w:b/>
                <w:sz w:val="24"/>
                <w:szCs w:val="24"/>
              </w:rPr>
            </w:pPr>
            <w:r>
              <w:rPr>
                <w:rFonts w:eastAsia="Times New Roman" w:cs="Arial"/>
                <w:b/>
                <w:sz w:val="24"/>
                <w:szCs w:val="24"/>
              </w:rPr>
              <w:t>Other paperwork attached</w:t>
            </w:r>
          </w:p>
        </w:tc>
        <w:tc>
          <w:tcPr>
            <w:tcW w:w="5684" w:type="dxa"/>
            <w:vAlign w:val="center"/>
          </w:tcPr>
          <w:p w:rsidR="00986FF9" w:rsidRDefault="00986FF9" w:rsidP="00986FF9">
            <w:pPr>
              <w:jc w:val="center"/>
              <w:rPr>
                <w:rFonts w:eastAsia="Times New Roman" w:cs="Arial"/>
                <w:b/>
                <w:sz w:val="24"/>
                <w:szCs w:val="24"/>
              </w:rPr>
            </w:pPr>
          </w:p>
        </w:tc>
      </w:tr>
    </w:tbl>
    <w:p w:rsidR="00AC2D3A" w:rsidRDefault="00AC2D3A" w:rsidP="00986FF9">
      <w:pPr>
        <w:keepNext/>
        <w:widowControl w:val="0"/>
        <w:suppressAutoHyphens/>
        <w:jc w:val="center"/>
        <w:outlineLvl w:val="0"/>
        <w:rPr>
          <w:rFonts w:eastAsia="Times New Roman" w:cs="Arial"/>
          <w:b/>
          <w:noProof/>
          <w:sz w:val="44"/>
          <w:szCs w:val="44"/>
        </w:rPr>
      </w:pPr>
      <w:r w:rsidRPr="00AC2D3A">
        <w:rPr>
          <w:rFonts w:eastAsia="Times New Roman" w:cs="Arial"/>
          <w:b/>
          <w:noProof/>
          <w:sz w:val="44"/>
          <w:szCs w:val="44"/>
        </w:rPr>
        <w:t>2019-2020</w:t>
      </w:r>
    </w:p>
    <w:p w:rsidR="00986FF9" w:rsidRDefault="00986FF9" w:rsidP="00986FF9">
      <w:pPr>
        <w:rPr>
          <w:rFonts w:eastAsia="Times New Roman" w:cs="Arial"/>
          <w:b/>
          <w:noProof/>
          <w:sz w:val="44"/>
          <w:szCs w:val="44"/>
        </w:rPr>
      </w:pPr>
    </w:p>
    <w:p w:rsidR="00AC2D3A" w:rsidRPr="00AC2D3A" w:rsidRDefault="00AC2D3A" w:rsidP="00986FF9">
      <w:pPr>
        <w:jc w:val="center"/>
        <w:rPr>
          <w:rFonts w:eastAsia="Times New Roman" w:cs="Arial"/>
          <w:b/>
        </w:rPr>
      </w:pPr>
      <w:r w:rsidRPr="00AC2D3A">
        <w:rPr>
          <w:rFonts w:eastAsia="Times New Roman" w:cs="Arial"/>
          <w:b/>
        </w:rPr>
        <w:t>Version History Log for this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6"/>
        <w:gridCol w:w="5868"/>
      </w:tblGrid>
      <w:tr w:rsidR="00986FF9" w:rsidRPr="00AC2D3A" w:rsidTr="00986FF9">
        <w:trPr>
          <w:trHeight w:val="546"/>
        </w:trPr>
        <w:tc>
          <w:tcPr>
            <w:tcW w:w="1560" w:type="dxa"/>
            <w:vAlign w:val="bottom"/>
          </w:tcPr>
          <w:p w:rsidR="00AC2D3A" w:rsidRPr="00AC2D3A" w:rsidRDefault="00AC2D3A" w:rsidP="00986FF9">
            <w:pPr>
              <w:jc w:val="center"/>
              <w:rPr>
                <w:rFonts w:eastAsia="SimSun" w:cs="Arial"/>
                <w:b/>
                <w:color w:val="000080"/>
              </w:rPr>
            </w:pPr>
            <w:r w:rsidRPr="00AC2D3A">
              <w:rPr>
                <w:rFonts w:eastAsia="SimSun" w:cs="Arial"/>
                <w:b/>
                <w:color w:val="000080"/>
              </w:rPr>
              <w:t>Version</w:t>
            </w:r>
          </w:p>
        </w:tc>
        <w:tc>
          <w:tcPr>
            <w:tcW w:w="1706" w:type="dxa"/>
            <w:vAlign w:val="bottom"/>
          </w:tcPr>
          <w:p w:rsidR="00AC2D3A" w:rsidRPr="00AC2D3A" w:rsidRDefault="00AC2D3A" w:rsidP="00986FF9">
            <w:pPr>
              <w:jc w:val="center"/>
              <w:rPr>
                <w:rFonts w:eastAsia="SimSun" w:cs="Arial"/>
                <w:b/>
                <w:color w:val="000080"/>
              </w:rPr>
            </w:pPr>
            <w:r w:rsidRPr="00AC2D3A">
              <w:rPr>
                <w:rFonts w:eastAsia="SimSun" w:cs="Arial"/>
                <w:b/>
                <w:color w:val="000080"/>
              </w:rPr>
              <w:t>Date Published</w:t>
            </w:r>
          </w:p>
        </w:tc>
        <w:tc>
          <w:tcPr>
            <w:tcW w:w="5868" w:type="dxa"/>
            <w:vAlign w:val="bottom"/>
          </w:tcPr>
          <w:p w:rsidR="00AC2D3A" w:rsidRPr="00AC2D3A" w:rsidRDefault="00AC2D3A" w:rsidP="00986FF9">
            <w:pPr>
              <w:jc w:val="center"/>
              <w:rPr>
                <w:rFonts w:eastAsia="SimSun" w:cs="Arial"/>
                <w:b/>
                <w:color w:val="000080"/>
              </w:rPr>
            </w:pPr>
            <w:r w:rsidRPr="00AC2D3A">
              <w:rPr>
                <w:rFonts w:eastAsia="SimSun" w:cs="Arial"/>
                <w:b/>
                <w:color w:val="000080"/>
              </w:rPr>
              <w:t>Details of key changes from previous version</w:t>
            </w:r>
          </w:p>
        </w:tc>
      </w:tr>
      <w:tr w:rsidR="00986FF9" w:rsidRPr="00AC2D3A" w:rsidTr="00986FF9">
        <w:trPr>
          <w:trHeight w:val="519"/>
        </w:trPr>
        <w:tc>
          <w:tcPr>
            <w:tcW w:w="1560" w:type="dxa"/>
            <w:vAlign w:val="center"/>
          </w:tcPr>
          <w:p w:rsidR="00AC2D3A" w:rsidRPr="00AC2D3A" w:rsidRDefault="00AC2D3A" w:rsidP="004160E9">
            <w:pPr>
              <w:jc w:val="center"/>
              <w:rPr>
                <w:rFonts w:eastAsia="SimSun" w:cs="Arial"/>
                <w:b/>
                <w:color w:val="000080"/>
              </w:rPr>
            </w:pPr>
          </w:p>
        </w:tc>
        <w:tc>
          <w:tcPr>
            <w:tcW w:w="1706" w:type="dxa"/>
            <w:vAlign w:val="center"/>
          </w:tcPr>
          <w:p w:rsidR="00AC2D3A" w:rsidRPr="00AC2D3A" w:rsidRDefault="00AC2D3A" w:rsidP="004160E9">
            <w:pPr>
              <w:jc w:val="center"/>
              <w:rPr>
                <w:rFonts w:eastAsia="SimSun" w:cs="Arial"/>
                <w:color w:val="000080"/>
              </w:rPr>
            </w:pPr>
          </w:p>
        </w:tc>
        <w:tc>
          <w:tcPr>
            <w:tcW w:w="5868" w:type="dxa"/>
            <w:vAlign w:val="center"/>
          </w:tcPr>
          <w:p w:rsidR="00AC2D3A" w:rsidRPr="00AC2D3A" w:rsidRDefault="00AC2D3A" w:rsidP="004160E9">
            <w:pPr>
              <w:jc w:val="center"/>
              <w:rPr>
                <w:rFonts w:eastAsia="SimSun" w:cs="Arial"/>
                <w:color w:val="000080"/>
              </w:rPr>
            </w:pPr>
          </w:p>
        </w:tc>
      </w:tr>
      <w:tr w:rsidR="00986FF9" w:rsidRPr="00AC2D3A" w:rsidTr="00986FF9">
        <w:trPr>
          <w:trHeight w:val="519"/>
        </w:trPr>
        <w:tc>
          <w:tcPr>
            <w:tcW w:w="1560" w:type="dxa"/>
            <w:vAlign w:val="center"/>
          </w:tcPr>
          <w:p w:rsidR="00AC2D3A" w:rsidRPr="00AC2D3A" w:rsidRDefault="00AC2D3A" w:rsidP="004160E9">
            <w:pPr>
              <w:jc w:val="center"/>
              <w:rPr>
                <w:rFonts w:eastAsia="SimSun" w:cs="Arial"/>
                <w:b/>
                <w:color w:val="000080"/>
              </w:rPr>
            </w:pPr>
          </w:p>
        </w:tc>
        <w:tc>
          <w:tcPr>
            <w:tcW w:w="1706" w:type="dxa"/>
            <w:vAlign w:val="center"/>
          </w:tcPr>
          <w:p w:rsidR="00AC2D3A" w:rsidRPr="00AC2D3A" w:rsidRDefault="00AC2D3A" w:rsidP="004160E9">
            <w:pPr>
              <w:jc w:val="center"/>
              <w:rPr>
                <w:rFonts w:eastAsia="SimSun" w:cs="Arial"/>
                <w:color w:val="000080"/>
              </w:rPr>
            </w:pPr>
          </w:p>
        </w:tc>
        <w:tc>
          <w:tcPr>
            <w:tcW w:w="5868" w:type="dxa"/>
            <w:vAlign w:val="center"/>
          </w:tcPr>
          <w:p w:rsidR="00AC2D3A" w:rsidRPr="00AC2D3A" w:rsidRDefault="00AC2D3A" w:rsidP="004160E9">
            <w:pPr>
              <w:jc w:val="center"/>
              <w:rPr>
                <w:rFonts w:eastAsia="SimSun" w:cs="Arial"/>
                <w:color w:val="000080"/>
              </w:rPr>
            </w:pPr>
          </w:p>
        </w:tc>
      </w:tr>
      <w:tr w:rsidR="00986FF9" w:rsidRPr="00AC2D3A" w:rsidTr="00986FF9">
        <w:trPr>
          <w:trHeight w:val="519"/>
        </w:trPr>
        <w:tc>
          <w:tcPr>
            <w:tcW w:w="1560" w:type="dxa"/>
            <w:vAlign w:val="center"/>
          </w:tcPr>
          <w:p w:rsidR="00AC2D3A" w:rsidRPr="00AC2D3A" w:rsidRDefault="00AC2D3A" w:rsidP="004160E9">
            <w:pPr>
              <w:jc w:val="center"/>
              <w:rPr>
                <w:rFonts w:eastAsia="SimSun" w:cs="Arial"/>
                <w:b/>
                <w:color w:val="000080"/>
              </w:rPr>
            </w:pPr>
          </w:p>
        </w:tc>
        <w:tc>
          <w:tcPr>
            <w:tcW w:w="1706" w:type="dxa"/>
            <w:vAlign w:val="center"/>
          </w:tcPr>
          <w:p w:rsidR="00AC2D3A" w:rsidRPr="00AC2D3A" w:rsidRDefault="00AC2D3A" w:rsidP="004160E9">
            <w:pPr>
              <w:jc w:val="center"/>
              <w:rPr>
                <w:rFonts w:eastAsia="SimSun" w:cs="Arial"/>
                <w:color w:val="000080"/>
              </w:rPr>
            </w:pPr>
          </w:p>
        </w:tc>
        <w:tc>
          <w:tcPr>
            <w:tcW w:w="5868" w:type="dxa"/>
            <w:vAlign w:val="center"/>
          </w:tcPr>
          <w:p w:rsidR="00AC2D3A" w:rsidRPr="00AC2D3A" w:rsidRDefault="00AC2D3A" w:rsidP="004160E9">
            <w:pPr>
              <w:jc w:val="center"/>
              <w:rPr>
                <w:rFonts w:eastAsia="SimSun" w:cs="Arial"/>
                <w:color w:val="000080"/>
              </w:rPr>
            </w:pPr>
          </w:p>
        </w:tc>
      </w:tr>
      <w:tr w:rsidR="00986FF9" w:rsidRPr="00AC2D3A" w:rsidTr="00986FF9">
        <w:trPr>
          <w:trHeight w:val="519"/>
        </w:trPr>
        <w:tc>
          <w:tcPr>
            <w:tcW w:w="1560" w:type="dxa"/>
            <w:vAlign w:val="center"/>
          </w:tcPr>
          <w:p w:rsidR="00AC2D3A" w:rsidRPr="00AC2D3A" w:rsidRDefault="00AC2D3A" w:rsidP="004160E9">
            <w:pPr>
              <w:jc w:val="center"/>
              <w:rPr>
                <w:rFonts w:eastAsia="SimSun" w:cs="Arial"/>
                <w:b/>
                <w:color w:val="000080"/>
              </w:rPr>
            </w:pPr>
          </w:p>
        </w:tc>
        <w:tc>
          <w:tcPr>
            <w:tcW w:w="1706" w:type="dxa"/>
            <w:vAlign w:val="center"/>
          </w:tcPr>
          <w:p w:rsidR="00AC2D3A" w:rsidRPr="00AC2D3A" w:rsidRDefault="00AC2D3A" w:rsidP="004160E9">
            <w:pPr>
              <w:jc w:val="center"/>
              <w:rPr>
                <w:rFonts w:eastAsia="SimSun" w:cs="Arial"/>
                <w:color w:val="000080"/>
              </w:rPr>
            </w:pPr>
          </w:p>
        </w:tc>
        <w:tc>
          <w:tcPr>
            <w:tcW w:w="5868" w:type="dxa"/>
            <w:vAlign w:val="center"/>
          </w:tcPr>
          <w:p w:rsidR="00AC2D3A" w:rsidRPr="00AC2D3A" w:rsidRDefault="00AC2D3A" w:rsidP="004160E9">
            <w:pPr>
              <w:jc w:val="center"/>
              <w:rPr>
                <w:rFonts w:eastAsia="SimSun" w:cs="Arial"/>
                <w:color w:val="000080"/>
              </w:rPr>
            </w:pPr>
          </w:p>
        </w:tc>
      </w:tr>
    </w:tbl>
    <w:p w:rsidR="00ED0DCB" w:rsidRPr="00AC2D3A" w:rsidRDefault="00ED0DCB" w:rsidP="00062EA9">
      <w:pPr>
        <w:spacing w:line="240" w:lineRule="auto"/>
        <w:jc w:val="both"/>
        <w:rPr>
          <w:b/>
          <w:u w:val="single"/>
        </w:rPr>
      </w:pPr>
      <w:r w:rsidRPr="00AC2D3A">
        <w:rPr>
          <w:b/>
          <w:u w:val="single"/>
        </w:rPr>
        <w:lastRenderedPageBreak/>
        <w:t>Published Admissions Number</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The Publish Admissions Number (PAN) for Hadleigh Infants and Nursery School is 90. </w:t>
      </w:r>
    </w:p>
    <w:p w:rsidR="00ED0DCB" w:rsidRPr="00AC2D3A" w:rsidRDefault="00ED0DCB" w:rsidP="00062EA9">
      <w:pPr>
        <w:spacing w:line="240" w:lineRule="auto"/>
        <w:jc w:val="both"/>
        <w:rPr>
          <w:b/>
          <w:u w:val="single"/>
        </w:rPr>
      </w:pPr>
    </w:p>
    <w:p w:rsidR="00ED0DCB" w:rsidRPr="00AC2D3A" w:rsidRDefault="00ED0DCB" w:rsidP="00062EA9">
      <w:pPr>
        <w:spacing w:line="240" w:lineRule="auto"/>
        <w:jc w:val="both"/>
      </w:pPr>
      <w:r w:rsidRPr="00AC2D3A">
        <w:rPr>
          <w:b/>
          <w:u w:val="single"/>
        </w:rPr>
        <w:t>Early Years Admissions</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As required by law, the school will provide for the full-time admission of all children offered a place in the Reception year group from the September following their fourth birthday.  Therefore, if a parent wants a full-time place for their child after September’s transitional period (</w:t>
      </w:r>
      <w:r w:rsidRPr="00AC2D3A">
        <w:rPr>
          <w:i/>
        </w:rPr>
        <w:t>first two weeks in September</w:t>
      </w:r>
      <w:r w:rsidRPr="00AC2D3A">
        <w:t>) then they are entitled to that full-time place. </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Parents can request that the date their child is admitted to school is deferred until later in the school year or until the child reaches compulsory school age in the school year. The law does not require a child to start school until the start of the term following their fifth birthday. Compulsory school age is reached at that point.  </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Where entry is deferred, the school will hold the place for that child and not offer it to another child. The parent would not however be able to defer entry beyond the beginning of the term after the child’s fifth birthday, nor beyond the academic year for which the original application was accepted.  Parents can also request that their child attends part-time until the child reaches compulsory school age. Any parents interested in taking up a part-time place initially should contact the school for further details as to what this would entail.  </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If you plan to defer your child’s start date until later in the school year, you must still apply at the usual time for primary or infant school places.  Where entry is deferred, the school will hold the place for that child and not offer it to another child.  Where parents choose to defer entry, the school may reasonably expect that the child would start at the beginning of a new school term/half term.</w:t>
      </w:r>
    </w:p>
    <w:p w:rsidR="00ED0DCB" w:rsidRPr="00AC2D3A" w:rsidRDefault="00ED0DCB" w:rsidP="00062EA9">
      <w:pPr>
        <w:spacing w:line="240" w:lineRule="auto"/>
        <w:jc w:val="both"/>
      </w:pPr>
    </w:p>
    <w:p w:rsidR="00ED0DCB" w:rsidRPr="00AC2D3A" w:rsidRDefault="00ED0DCB" w:rsidP="00062EA9">
      <w:pPr>
        <w:spacing w:line="240" w:lineRule="auto"/>
        <w:jc w:val="both"/>
        <w:rPr>
          <w:b/>
          <w:u w:val="single"/>
        </w:rPr>
      </w:pPr>
      <w:r w:rsidRPr="00AC2D3A">
        <w:rPr>
          <w:b/>
          <w:u w:val="single"/>
        </w:rPr>
        <w:t>Summer-born children</w:t>
      </w:r>
    </w:p>
    <w:p w:rsidR="00ED0DCB" w:rsidRPr="00AC2D3A" w:rsidRDefault="00ED0DCB" w:rsidP="00062EA9">
      <w:pPr>
        <w:spacing w:line="240" w:lineRule="auto"/>
        <w:jc w:val="both"/>
        <w:rPr>
          <w:u w:val="single"/>
        </w:rPr>
      </w:pPr>
    </w:p>
    <w:p w:rsidR="00ED0DCB" w:rsidRPr="00AC2D3A" w:rsidRDefault="00ED0DCB" w:rsidP="00062EA9">
      <w:pPr>
        <w:spacing w:line="240" w:lineRule="auto"/>
        <w:jc w:val="both"/>
      </w:pPr>
      <w:r w:rsidRPr="00AC2D3A">
        <w:t>Where a parent of a ‘summer-born’ child (1 April – 31 August) wishes their child to start school in the autumn term following their fifth birthday, they will need to apply for a place at the correct time for the normal admission round for the following academic year. Supporting evidence from relevant professionals working with the child and family stating why the child must be placed outside their normal age appropriate cohort should be submitted. The admission authority for the school and the Head Teacher will decide whether the application for a Reception place will be accepted. If the application for a Reception place is not accepted this does not constitute a refusal of the place and there is no right to an independent statutory appeal.</w:t>
      </w:r>
    </w:p>
    <w:p w:rsidR="00ED0DCB" w:rsidRPr="00AC2D3A" w:rsidRDefault="00ED0DCB" w:rsidP="00062EA9">
      <w:pPr>
        <w:spacing w:line="240" w:lineRule="auto"/>
        <w:jc w:val="both"/>
      </w:pPr>
      <w:r w:rsidRPr="00AC2D3A">
        <w:rPr>
          <w:b/>
          <w:u w:val="single"/>
        </w:rPr>
        <w:lastRenderedPageBreak/>
        <w:t>Application Procedure</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Applications must be made in accordance with the co-ordinated admission arrangements operated by the child’s home local authority.  For children resident in Essex this is detailed in the </w:t>
      </w:r>
      <w:r w:rsidRPr="00AC2D3A">
        <w:rPr>
          <w:i/>
        </w:rPr>
        <w:t>Primary Education in Essex</w:t>
      </w:r>
      <w:r w:rsidRPr="00AC2D3A">
        <w:t xml:space="preserve"> booklet published by Essex County Council.  </w:t>
      </w:r>
    </w:p>
    <w:p w:rsidR="00ED0DCB" w:rsidRPr="00AC2D3A" w:rsidRDefault="00ED0DCB" w:rsidP="00062EA9">
      <w:pPr>
        <w:spacing w:line="240" w:lineRule="auto"/>
        <w:jc w:val="both"/>
      </w:pPr>
    </w:p>
    <w:p w:rsidR="00ED0DCB" w:rsidRPr="00AC2D3A" w:rsidRDefault="00ED0DCB" w:rsidP="00062EA9">
      <w:pPr>
        <w:spacing w:line="240" w:lineRule="auto"/>
        <w:jc w:val="both"/>
        <w:rPr>
          <w:b/>
          <w:u w:val="single"/>
        </w:rPr>
      </w:pPr>
      <w:r w:rsidRPr="00AC2D3A">
        <w:rPr>
          <w:b/>
          <w:u w:val="single"/>
        </w:rPr>
        <w:t>Admission Criteria</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Where applications for admission exceed the number of places available, the following criteria will be applied, in the order set out below, to decide which children to admit;</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1. Looked </w:t>
      </w:r>
      <w:proofErr w:type="gramStart"/>
      <w:r w:rsidRPr="00AC2D3A">
        <w:t>After</w:t>
      </w:r>
      <w:proofErr w:type="gramEnd"/>
      <w:r w:rsidRPr="00AC2D3A">
        <w:t xml:space="preserve"> Children and p</w:t>
      </w:r>
      <w:r w:rsidR="0092253A">
        <w:t>reviously looked after children;</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2. </w:t>
      </w:r>
      <w:r w:rsidR="00FB3232" w:rsidRPr="00AC2D3A">
        <w:t>Children living in the priority admission area wi</w:t>
      </w:r>
      <w:r w:rsidR="00FB3232">
        <w:t>th a sibling</w:t>
      </w:r>
      <w:r w:rsidR="00FB3232" w:rsidRPr="00AC2D3A">
        <w:t xml:space="preserve"> attending the school or Hadleigh Junior School at the time of admission;</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3. </w:t>
      </w:r>
      <w:r w:rsidR="00FB3232">
        <w:t>Children with a sibling</w:t>
      </w:r>
      <w:r w:rsidR="00FB3232" w:rsidRPr="00AC2D3A">
        <w:t xml:space="preserve"> attending Hadleigh Infant School at the time of admission;</w:t>
      </w:r>
    </w:p>
    <w:p w:rsidR="00ED0DCB" w:rsidRPr="00AC2D3A" w:rsidRDefault="00ED0DCB" w:rsidP="00062EA9">
      <w:pPr>
        <w:spacing w:line="240" w:lineRule="auto"/>
        <w:jc w:val="both"/>
      </w:pPr>
    </w:p>
    <w:p w:rsidR="00ED0DCB" w:rsidRPr="00AC2D3A" w:rsidRDefault="0092253A" w:rsidP="00062EA9">
      <w:pPr>
        <w:spacing w:line="240" w:lineRule="auto"/>
        <w:jc w:val="both"/>
      </w:pPr>
      <w:r>
        <w:t xml:space="preserve">4. </w:t>
      </w:r>
      <w:r w:rsidR="00FB3232">
        <w:t>Children with a sibling</w:t>
      </w:r>
      <w:r w:rsidR="00FB3232" w:rsidRPr="00AC2D3A">
        <w:t xml:space="preserve"> attending Hadleigh Junior School at the time of admission;</w:t>
      </w:r>
    </w:p>
    <w:p w:rsidR="00ED0DCB" w:rsidRPr="00AC2D3A" w:rsidRDefault="00ED0DCB" w:rsidP="00062EA9">
      <w:pPr>
        <w:spacing w:line="240" w:lineRule="auto"/>
        <w:jc w:val="both"/>
      </w:pPr>
    </w:p>
    <w:p w:rsidR="00FB3232" w:rsidRPr="00AC2D3A" w:rsidRDefault="0092253A" w:rsidP="00FB3232">
      <w:pPr>
        <w:spacing w:line="240" w:lineRule="auto"/>
        <w:jc w:val="both"/>
      </w:pPr>
      <w:r>
        <w:t xml:space="preserve">5. </w:t>
      </w:r>
      <w:r w:rsidR="00FB3232" w:rsidRPr="00AC2D3A">
        <w:t>Children who have attended the school’s Nursery for at least 15 hours of state</w:t>
      </w:r>
      <w:r w:rsidR="00FB3232">
        <w:t>-</w:t>
      </w:r>
      <w:r w:rsidR="00FB3232" w:rsidRPr="00AC2D3A">
        <w:t>funded</w:t>
      </w:r>
      <w:r w:rsidR="00FB3232">
        <w:t xml:space="preserve"> provision</w:t>
      </w:r>
      <w:r w:rsidR="00FB3232" w:rsidRPr="00AC2D3A">
        <w:t>;</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6. Children of staff who work at the school;</w:t>
      </w:r>
    </w:p>
    <w:p w:rsidR="00ED0DCB" w:rsidRPr="00AC2D3A" w:rsidRDefault="00ED0DCB" w:rsidP="00062EA9">
      <w:pPr>
        <w:spacing w:line="240" w:lineRule="auto"/>
        <w:jc w:val="both"/>
      </w:pPr>
    </w:p>
    <w:p w:rsidR="00FC5345" w:rsidRPr="00AC2D3A" w:rsidRDefault="00FC5345" w:rsidP="00062EA9">
      <w:pPr>
        <w:spacing w:line="240" w:lineRule="auto"/>
        <w:jc w:val="both"/>
      </w:pPr>
      <w:r w:rsidRPr="00AC2D3A">
        <w:t>7. Other children living in the priority admission area;</w:t>
      </w:r>
    </w:p>
    <w:p w:rsidR="00FC5345" w:rsidRPr="00AC2D3A" w:rsidRDefault="00FC5345" w:rsidP="00062EA9">
      <w:pPr>
        <w:spacing w:line="240" w:lineRule="auto"/>
        <w:jc w:val="both"/>
      </w:pPr>
    </w:p>
    <w:p w:rsidR="00ED0DCB" w:rsidRPr="00AC2D3A" w:rsidRDefault="00FC5345" w:rsidP="00062EA9">
      <w:pPr>
        <w:spacing w:line="240" w:lineRule="auto"/>
        <w:jc w:val="both"/>
        <w:rPr>
          <w:b/>
          <w:u w:val="single"/>
        </w:rPr>
      </w:pPr>
      <w:r w:rsidRPr="00AC2D3A">
        <w:t>8</w:t>
      </w:r>
      <w:r w:rsidR="00ED0DCB" w:rsidRPr="00AC2D3A">
        <w:t>. Remaining applications.</w:t>
      </w:r>
    </w:p>
    <w:p w:rsidR="00ED0DCB" w:rsidRPr="00AC2D3A" w:rsidRDefault="00ED0DCB" w:rsidP="00062EA9">
      <w:pPr>
        <w:spacing w:line="240" w:lineRule="auto"/>
        <w:jc w:val="both"/>
        <w:rPr>
          <w:b/>
          <w:u w:val="single"/>
        </w:rPr>
      </w:pPr>
    </w:p>
    <w:p w:rsidR="00ED0DCB" w:rsidRPr="00AC2D3A" w:rsidRDefault="00ED0DCB" w:rsidP="00062EA9">
      <w:pPr>
        <w:spacing w:line="240" w:lineRule="auto"/>
        <w:jc w:val="both"/>
        <w:rPr>
          <w:b/>
          <w:u w:val="single"/>
        </w:rPr>
      </w:pPr>
    </w:p>
    <w:p w:rsidR="00ED0DCB" w:rsidRPr="00AC2D3A" w:rsidRDefault="00ED0DCB" w:rsidP="00062EA9">
      <w:pPr>
        <w:spacing w:line="240" w:lineRule="auto"/>
        <w:jc w:val="both"/>
        <w:rPr>
          <w:b/>
          <w:u w:val="single"/>
        </w:rPr>
      </w:pPr>
    </w:p>
    <w:p w:rsidR="00FC5345" w:rsidRPr="00AC2D3A" w:rsidRDefault="00FC5345" w:rsidP="00062EA9">
      <w:pPr>
        <w:spacing w:line="240" w:lineRule="auto"/>
        <w:jc w:val="both"/>
        <w:rPr>
          <w:b/>
          <w:u w:val="single"/>
        </w:rPr>
      </w:pPr>
    </w:p>
    <w:p w:rsidR="0092253A" w:rsidRDefault="0092253A" w:rsidP="0092253A">
      <w:pPr>
        <w:spacing w:line="240" w:lineRule="auto"/>
        <w:jc w:val="both"/>
        <w:rPr>
          <w:b/>
          <w:u w:val="single"/>
        </w:rPr>
      </w:pPr>
      <w:r w:rsidRPr="0092253A">
        <w:rPr>
          <w:b/>
          <w:u w:val="single"/>
        </w:rPr>
        <w:lastRenderedPageBreak/>
        <w:t>Looked After Children</w:t>
      </w:r>
    </w:p>
    <w:p w:rsidR="0092253A" w:rsidRPr="0092253A" w:rsidRDefault="0092253A" w:rsidP="0092253A">
      <w:pPr>
        <w:spacing w:line="240" w:lineRule="auto"/>
        <w:jc w:val="both"/>
        <w:rPr>
          <w:b/>
          <w:u w:val="single"/>
        </w:rPr>
      </w:pPr>
    </w:p>
    <w:p w:rsidR="0092253A" w:rsidRPr="0092253A" w:rsidRDefault="0092253A" w:rsidP="0092253A">
      <w:pPr>
        <w:spacing w:line="240" w:lineRule="auto"/>
        <w:jc w:val="both"/>
      </w:pPr>
      <w:r w:rsidRPr="0092253A">
        <w:t>A ‘looked after Child’ or a child who was previously looked after but immediately after being looked after became subject to adoption, residence or special guardianship order will be given first priority in oversubscription ahead of all other applicants in accordance with the School Admissions Code 2012. A looked after child is a child who is (a) in the care of the Local Authority, or (b) being provided with accommodation by a Local Authority in exercise of their social services function (as defined in Section 22 (1) of the Children Act 1989).</w:t>
      </w:r>
    </w:p>
    <w:p w:rsidR="0092253A" w:rsidRDefault="0092253A" w:rsidP="0092253A">
      <w:pPr>
        <w:spacing w:line="240" w:lineRule="auto"/>
        <w:jc w:val="both"/>
        <w:rPr>
          <w:b/>
          <w:u w:val="single"/>
        </w:rPr>
      </w:pPr>
    </w:p>
    <w:p w:rsidR="0092253A" w:rsidRDefault="0092253A" w:rsidP="0092253A">
      <w:pPr>
        <w:spacing w:line="240" w:lineRule="auto"/>
        <w:jc w:val="both"/>
        <w:rPr>
          <w:b/>
          <w:u w:val="single"/>
        </w:rPr>
      </w:pPr>
      <w:r w:rsidRPr="0092253A">
        <w:rPr>
          <w:b/>
          <w:u w:val="single"/>
        </w:rPr>
        <w:t>Siblings</w:t>
      </w:r>
    </w:p>
    <w:p w:rsidR="0092253A" w:rsidRPr="0092253A" w:rsidRDefault="0092253A" w:rsidP="0092253A">
      <w:pPr>
        <w:spacing w:line="240" w:lineRule="auto"/>
        <w:jc w:val="both"/>
        <w:rPr>
          <w:b/>
          <w:u w:val="single"/>
        </w:rPr>
      </w:pPr>
    </w:p>
    <w:p w:rsidR="0092253A" w:rsidRDefault="0092253A" w:rsidP="0092253A">
      <w:pPr>
        <w:spacing w:line="240" w:lineRule="auto"/>
        <w:jc w:val="both"/>
      </w:pPr>
      <w:r w:rsidRPr="0092253A">
        <w:t>For applications made in the normal admission round a relevant sibling is a child who has a brother, sister, adopted brother or sister, fostered brother or sister or stepbrother or stepsister living in the same family unit in the same family address who attends the preferred school in any year group excluding the final year. Biological siblings who attend the preferred school in any year group will be treated as siblings irrespective of place of residence. Children residing in the same family such as cousins will not be treated as siblings.</w:t>
      </w:r>
    </w:p>
    <w:p w:rsidR="0092253A" w:rsidRPr="0092253A" w:rsidRDefault="0092253A" w:rsidP="0092253A">
      <w:pPr>
        <w:spacing w:line="240" w:lineRule="auto"/>
        <w:jc w:val="both"/>
      </w:pPr>
    </w:p>
    <w:p w:rsidR="0092253A" w:rsidRDefault="0092253A" w:rsidP="0092253A">
      <w:pPr>
        <w:spacing w:line="240" w:lineRule="auto"/>
        <w:jc w:val="both"/>
        <w:rPr>
          <w:b/>
          <w:u w:val="single"/>
        </w:rPr>
      </w:pPr>
      <w:r w:rsidRPr="0092253A">
        <w:rPr>
          <w:b/>
          <w:u w:val="single"/>
        </w:rPr>
        <w:t>Priority Admissions Area</w:t>
      </w:r>
    </w:p>
    <w:p w:rsidR="0092253A" w:rsidRPr="0092253A" w:rsidRDefault="0092253A" w:rsidP="0092253A">
      <w:pPr>
        <w:spacing w:line="240" w:lineRule="auto"/>
        <w:jc w:val="both"/>
        <w:rPr>
          <w:b/>
          <w:u w:val="single"/>
        </w:rPr>
      </w:pPr>
    </w:p>
    <w:p w:rsidR="0092253A" w:rsidRPr="0092253A" w:rsidRDefault="0092253A" w:rsidP="0092253A">
      <w:pPr>
        <w:spacing w:line="240" w:lineRule="auto"/>
        <w:jc w:val="both"/>
      </w:pPr>
      <w:r w:rsidRPr="0092253A">
        <w:t xml:space="preserve">Please contact the school </w:t>
      </w:r>
      <w:r>
        <w:t>or visit the school’s website</w:t>
      </w:r>
      <w:r w:rsidRPr="0092253A">
        <w:t xml:space="preserve"> for details </w:t>
      </w:r>
      <w:r>
        <w:t>of the priority admissions area.</w:t>
      </w:r>
    </w:p>
    <w:p w:rsidR="0092253A" w:rsidRDefault="0092253A" w:rsidP="0092253A">
      <w:pPr>
        <w:spacing w:line="240" w:lineRule="auto"/>
        <w:jc w:val="both"/>
        <w:rPr>
          <w:b/>
          <w:u w:val="single"/>
        </w:rPr>
      </w:pPr>
    </w:p>
    <w:p w:rsidR="00ED0DCB" w:rsidRPr="00AC2D3A" w:rsidRDefault="00ED0DCB" w:rsidP="0092253A">
      <w:pPr>
        <w:spacing w:line="240" w:lineRule="auto"/>
        <w:jc w:val="both"/>
        <w:rPr>
          <w:b/>
          <w:u w:val="single"/>
        </w:rPr>
      </w:pPr>
      <w:r w:rsidRPr="00AC2D3A">
        <w:rPr>
          <w:b/>
          <w:u w:val="single"/>
        </w:rPr>
        <w:t xml:space="preserve">Exceptional Medical Circumstances </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Exceptional medical circumstances (supported by recent professional medical evidence) may override the above.  This evidence will h</w:t>
      </w:r>
      <w:r w:rsidR="00FC5345" w:rsidRPr="00AC2D3A">
        <w:t>ave to demonstrate that Hadleigh Infants and Nursery School</w:t>
      </w:r>
      <w:r w:rsidRPr="00AC2D3A">
        <w:t xml:space="preserve"> is the only suitable school.  A panel of Governors will review the evidence and determine whether the child will be given priority.  </w:t>
      </w:r>
    </w:p>
    <w:p w:rsidR="00ED0DCB" w:rsidRPr="00AC2D3A" w:rsidRDefault="00ED0DCB" w:rsidP="00062EA9">
      <w:pPr>
        <w:spacing w:line="240" w:lineRule="auto"/>
        <w:jc w:val="both"/>
        <w:rPr>
          <w:b/>
          <w:u w:val="single"/>
        </w:rPr>
      </w:pPr>
    </w:p>
    <w:p w:rsidR="00ED0DCB" w:rsidRPr="00AC2D3A" w:rsidRDefault="00ED0DCB" w:rsidP="00062EA9">
      <w:pPr>
        <w:spacing w:line="240" w:lineRule="auto"/>
        <w:jc w:val="both"/>
      </w:pPr>
      <w:r w:rsidRPr="00AC2D3A">
        <w:rPr>
          <w:b/>
          <w:u w:val="single"/>
        </w:rPr>
        <w:t xml:space="preserve">Pupils with </w:t>
      </w:r>
      <w:proofErr w:type="gramStart"/>
      <w:r w:rsidRPr="00AC2D3A">
        <w:rPr>
          <w:b/>
          <w:u w:val="single"/>
        </w:rPr>
        <w:t>a</w:t>
      </w:r>
      <w:proofErr w:type="gramEnd"/>
      <w:r w:rsidRPr="00AC2D3A">
        <w:rPr>
          <w:b/>
          <w:u w:val="single"/>
        </w:rPr>
        <w:t xml:space="preserve"> </w:t>
      </w:r>
      <w:r w:rsidR="00FC5345" w:rsidRPr="00AC2D3A">
        <w:rPr>
          <w:b/>
          <w:u w:val="single"/>
        </w:rPr>
        <w:t>EHCP</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 xml:space="preserve">Pupils with </w:t>
      </w:r>
      <w:proofErr w:type="gramStart"/>
      <w:r w:rsidRPr="00AC2D3A">
        <w:t>a</w:t>
      </w:r>
      <w:proofErr w:type="gramEnd"/>
      <w:r w:rsidRPr="00AC2D3A">
        <w:t xml:space="preserve"> </w:t>
      </w:r>
      <w:r w:rsidR="00FC5345" w:rsidRPr="00AC2D3A">
        <w:t>EHCP linked to</w:t>
      </w:r>
      <w:r w:rsidRPr="00AC2D3A">
        <w:t xml:space="preserve"> special educational needs whose </w:t>
      </w:r>
      <w:r w:rsidR="00FC5345" w:rsidRPr="00AC2D3A">
        <w:t>EHCP</w:t>
      </w:r>
      <w:r w:rsidRPr="00AC2D3A">
        <w:t xml:space="preserve"> names </w:t>
      </w:r>
      <w:r w:rsidR="00FC5345" w:rsidRPr="00AC2D3A">
        <w:t>Hadleigh Infants and Nursery</w:t>
      </w:r>
      <w:r w:rsidRPr="00AC2D3A">
        <w:t xml:space="preserve"> School will be admitted irrespective of our admissions criteria. </w:t>
      </w:r>
    </w:p>
    <w:p w:rsidR="00ED0DCB" w:rsidRPr="00AC2D3A" w:rsidRDefault="00ED0DCB" w:rsidP="00062EA9">
      <w:pPr>
        <w:spacing w:line="240" w:lineRule="auto"/>
        <w:jc w:val="both"/>
      </w:pPr>
    </w:p>
    <w:p w:rsidR="0092253A" w:rsidRDefault="0092253A" w:rsidP="00062EA9">
      <w:pPr>
        <w:spacing w:line="240" w:lineRule="auto"/>
        <w:jc w:val="both"/>
        <w:rPr>
          <w:b/>
          <w:u w:val="single"/>
        </w:rPr>
      </w:pPr>
    </w:p>
    <w:p w:rsidR="0092253A" w:rsidRDefault="0092253A" w:rsidP="00062EA9">
      <w:pPr>
        <w:spacing w:line="240" w:lineRule="auto"/>
        <w:jc w:val="both"/>
        <w:rPr>
          <w:b/>
          <w:u w:val="single"/>
        </w:rPr>
      </w:pPr>
    </w:p>
    <w:p w:rsidR="00ED0DCB" w:rsidRPr="00AC2D3A" w:rsidRDefault="00ED0DCB" w:rsidP="00062EA9">
      <w:pPr>
        <w:spacing w:line="240" w:lineRule="auto"/>
        <w:jc w:val="both"/>
        <w:rPr>
          <w:b/>
          <w:u w:val="single"/>
        </w:rPr>
      </w:pPr>
      <w:r w:rsidRPr="00AC2D3A">
        <w:rPr>
          <w:b/>
          <w:u w:val="single"/>
        </w:rPr>
        <w:lastRenderedPageBreak/>
        <w:t>Straight Line Distance</w:t>
      </w:r>
    </w:p>
    <w:p w:rsidR="00ED0DCB" w:rsidRPr="00AC2D3A" w:rsidRDefault="00ED0DCB" w:rsidP="00062EA9">
      <w:pPr>
        <w:spacing w:line="240" w:lineRule="auto"/>
        <w:jc w:val="both"/>
        <w:rPr>
          <w:b/>
          <w:u w:val="single"/>
        </w:rPr>
      </w:pPr>
    </w:p>
    <w:p w:rsidR="00ED0DCB" w:rsidRPr="00AC2D3A" w:rsidRDefault="00ED0DCB" w:rsidP="00062EA9">
      <w:pPr>
        <w:spacing w:line="240" w:lineRule="auto"/>
        <w:jc w:val="both"/>
      </w:pPr>
      <w:r w:rsidRPr="00AC2D3A">
        <w:t xml:space="preserve">In each individual criterion, distance between home and school (measured in a straight line) will be calculated, with those living closest being given the highest priority.  Straight line distances are calculated by Essex County Council using a computerised geographical information system as defined in the </w:t>
      </w:r>
      <w:r w:rsidRPr="00AC2D3A">
        <w:rPr>
          <w:i/>
        </w:rPr>
        <w:t>Primary Education in Essex</w:t>
      </w:r>
      <w:r w:rsidRPr="00AC2D3A">
        <w:t xml:space="preserve"> booklet.  </w:t>
      </w:r>
    </w:p>
    <w:p w:rsidR="00ED0DCB" w:rsidRPr="00AC2D3A" w:rsidRDefault="00ED0DCB" w:rsidP="00062EA9">
      <w:pPr>
        <w:spacing w:line="240" w:lineRule="auto"/>
        <w:jc w:val="both"/>
      </w:pPr>
    </w:p>
    <w:p w:rsidR="00ED0DCB" w:rsidRPr="00AC2D3A" w:rsidRDefault="00ED0DCB" w:rsidP="00062EA9">
      <w:pPr>
        <w:spacing w:line="240" w:lineRule="auto"/>
        <w:jc w:val="both"/>
        <w:rPr>
          <w:b/>
          <w:u w:val="single"/>
        </w:rPr>
      </w:pPr>
      <w:r w:rsidRPr="00AC2D3A">
        <w:rPr>
          <w:b/>
          <w:u w:val="single"/>
        </w:rPr>
        <w:t>Waiting List</w:t>
      </w:r>
    </w:p>
    <w:p w:rsidR="00ED0DCB" w:rsidRPr="00AC2D3A" w:rsidRDefault="00ED0DCB" w:rsidP="00062EA9">
      <w:pPr>
        <w:spacing w:line="240" w:lineRule="auto"/>
        <w:jc w:val="both"/>
      </w:pPr>
    </w:p>
    <w:p w:rsidR="00ED0DCB" w:rsidRPr="00AC2D3A" w:rsidRDefault="00ED0DCB" w:rsidP="00062EA9">
      <w:pPr>
        <w:spacing w:line="240" w:lineRule="auto"/>
        <w:jc w:val="both"/>
      </w:pPr>
      <w:r w:rsidRPr="00AC2D3A">
        <w:t>In the event of oversubscription, a waiting list will be maintained at Essex County Cou</w:t>
      </w:r>
      <w:r w:rsidR="00FB3232">
        <w:t>ncil until the end of August the year following the desired date of admission</w:t>
      </w:r>
      <w:r w:rsidRPr="00AC2D3A">
        <w:t xml:space="preserve">.  Thereafter the waiting list will be maintained by the school until the end of the </w:t>
      </w:r>
      <w:r w:rsidR="00FB3232" w:rsidRPr="00AC2D3A">
        <w:t>autumn</w:t>
      </w:r>
      <w:r w:rsidRPr="00AC2D3A">
        <w:t xml:space="preserve"> term </w:t>
      </w:r>
      <w:r w:rsidR="00FB3232">
        <w:t>following the desired date of admission</w:t>
      </w:r>
      <w:r w:rsidRPr="00AC2D3A">
        <w:t xml:space="preserve">.  The waiting list will be maintained in the order of the admission criteria.  </w:t>
      </w:r>
    </w:p>
    <w:p w:rsidR="00ED0DCB" w:rsidRPr="00AC2D3A" w:rsidRDefault="00ED0DCB" w:rsidP="00062EA9">
      <w:pPr>
        <w:spacing w:line="240" w:lineRule="auto"/>
        <w:jc w:val="both"/>
      </w:pPr>
    </w:p>
    <w:p w:rsidR="00ED0DCB" w:rsidRPr="00AC2D3A" w:rsidRDefault="00ED0DCB" w:rsidP="00062EA9">
      <w:pPr>
        <w:spacing w:line="240" w:lineRule="auto"/>
        <w:jc w:val="both"/>
        <w:rPr>
          <w:b/>
          <w:u w:val="single"/>
        </w:rPr>
      </w:pPr>
      <w:r w:rsidRPr="00AC2D3A">
        <w:rPr>
          <w:b/>
          <w:u w:val="single"/>
        </w:rPr>
        <w:t>Late Applications</w:t>
      </w:r>
    </w:p>
    <w:p w:rsidR="00ED0DCB" w:rsidRPr="00AC2D3A" w:rsidRDefault="00ED0DCB" w:rsidP="00062EA9">
      <w:pPr>
        <w:spacing w:line="240" w:lineRule="auto"/>
        <w:jc w:val="both"/>
        <w:rPr>
          <w:b/>
          <w:u w:val="single"/>
        </w:rPr>
      </w:pPr>
    </w:p>
    <w:p w:rsidR="00ED0DCB" w:rsidRPr="00AC2D3A" w:rsidRDefault="00ED0DCB" w:rsidP="00062EA9">
      <w:pPr>
        <w:spacing w:line="240" w:lineRule="auto"/>
        <w:jc w:val="both"/>
      </w:pPr>
      <w:r w:rsidRPr="00AC2D3A">
        <w:t xml:space="preserve">Applications received after National Closing date will be handled in accordance with the co-ordinated admission arrangements operated by child’s home local authority.  For children resident in Essex this is published in the </w:t>
      </w:r>
      <w:r w:rsidRPr="00AC2D3A">
        <w:rPr>
          <w:i/>
        </w:rPr>
        <w:t>Primary Education in Essex</w:t>
      </w:r>
      <w:r w:rsidRPr="00AC2D3A">
        <w:t xml:space="preserve"> booklet.  </w:t>
      </w:r>
    </w:p>
    <w:p w:rsidR="00ED0DCB" w:rsidRPr="00AC2D3A" w:rsidRDefault="00ED0DCB" w:rsidP="00062EA9">
      <w:pPr>
        <w:spacing w:line="240" w:lineRule="auto"/>
        <w:jc w:val="both"/>
      </w:pPr>
    </w:p>
    <w:p w:rsidR="00ED0DCB" w:rsidRPr="00AC2D3A" w:rsidRDefault="00ED0DCB" w:rsidP="00062EA9">
      <w:pPr>
        <w:spacing w:line="240" w:lineRule="auto"/>
        <w:jc w:val="both"/>
        <w:rPr>
          <w:b/>
          <w:u w:val="single"/>
        </w:rPr>
      </w:pPr>
      <w:r w:rsidRPr="00AC2D3A">
        <w:rPr>
          <w:b/>
          <w:u w:val="single"/>
        </w:rPr>
        <w:t>Appeals</w:t>
      </w:r>
    </w:p>
    <w:p w:rsidR="00ED0DCB" w:rsidRPr="00AC2D3A" w:rsidRDefault="00ED0DCB" w:rsidP="00062EA9">
      <w:pPr>
        <w:spacing w:line="240" w:lineRule="auto"/>
        <w:jc w:val="both"/>
        <w:rPr>
          <w:b/>
          <w:u w:val="single"/>
        </w:rPr>
      </w:pPr>
    </w:p>
    <w:p w:rsidR="000F69B6" w:rsidRPr="00AC2D3A" w:rsidRDefault="00ED0DCB" w:rsidP="00062EA9">
      <w:pPr>
        <w:spacing w:line="240" w:lineRule="auto"/>
        <w:jc w:val="both"/>
      </w:pPr>
      <w:r w:rsidRPr="00AC2D3A">
        <w:t xml:space="preserve">Parents whose children are refused admission to the school have a statutory right to appeal to an independent appeal panel i.e. independent of the school.  </w:t>
      </w:r>
    </w:p>
    <w:sectPr w:rsidR="000F69B6" w:rsidRPr="00AC2D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E2" w:rsidRDefault="00C41FE2" w:rsidP="00ED0DCB">
      <w:pPr>
        <w:spacing w:after="0" w:line="240" w:lineRule="auto"/>
      </w:pPr>
      <w:r>
        <w:separator/>
      </w:r>
    </w:p>
  </w:endnote>
  <w:endnote w:type="continuationSeparator" w:id="0">
    <w:p w:rsidR="00C41FE2" w:rsidRDefault="00C41FE2" w:rsidP="00ED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E2" w:rsidRDefault="00C41FE2" w:rsidP="00ED0DCB">
      <w:pPr>
        <w:spacing w:after="0" w:line="240" w:lineRule="auto"/>
      </w:pPr>
      <w:r>
        <w:separator/>
      </w:r>
    </w:p>
  </w:footnote>
  <w:footnote w:type="continuationSeparator" w:id="0">
    <w:p w:rsidR="00C41FE2" w:rsidRDefault="00C41FE2" w:rsidP="00ED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6AA"/>
    <w:multiLevelType w:val="hybridMultilevel"/>
    <w:tmpl w:val="8E480020"/>
    <w:lvl w:ilvl="0" w:tplc="16F074A6">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CB"/>
    <w:rsid w:val="00062EA9"/>
    <w:rsid w:val="000F69B6"/>
    <w:rsid w:val="003921D7"/>
    <w:rsid w:val="003C146E"/>
    <w:rsid w:val="0042011A"/>
    <w:rsid w:val="005C0150"/>
    <w:rsid w:val="005E12B2"/>
    <w:rsid w:val="00730562"/>
    <w:rsid w:val="0092253A"/>
    <w:rsid w:val="00986FF9"/>
    <w:rsid w:val="009A16EC"/>
    <w:rsid w:val="00A21E0D"/>
    <w:rsid w:val="00AC2D3A"/>
    <w:rsid w:val="00C41FE2"/>
    <w:rsid w:val="00ED0DCB"/>
    <w:rsid w:val="00FB3232"/>
    <w:rsid w:val="00FC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D0DC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D0DCB"/>
    <w:rPr>
      <w:rFonts w:ascii="Times New Roman" w:eastAsia="Times New Roman" w:hAnsi="Times New Roman" w:cs="Times New Roman"/>
      <w:sz w:val="20"/>
      <w:szCs w:val="20"/>
      <w:lang w:eastAsia="en-GB"/>
    </w:rPr>
  </w:style>
  <w:style w:type="character" w:styleId="FootnoteReference">
    <w:name w:val="footnote reference"/>
    <w:semiHidden/>
    <w:unhideWhenUsed/>
    <w:rsid w:val="00ED0DCB"/>
    <w:rPr>
      <w:vertAlign w:val="superscript"/>
    </w:rPr>
  </w:style>
  <w:style w:type="paragraph" w:styleId="BalloonText">
    <w:name w:val="Balloon Text"/>
    <w:basedOn w:val="Normal"/>
    <w:link w:val="BalloonTextChar"/>
    <w:uiPriority w:val="99"/>
    <w:semiHidden/>
    <w:unhideWhenUsed/>
    <w:rsid w:val="00FC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45"/>
    <w:rPr>
      <w:rFonts w:ascii="Tahoma" w:hAnsi="Tahoma" w:cs="Tahoma"/>
      <w:sz w:val="16"/>
      <w:szCs w:val="16"/>
    </w:rPr>
  </w:style>
  <w:style w:type="table" w:styleId="TableGrid">
    <w:name w:val="Table Grid"/>
    <w:basedOn w:val="TableNormal"/>
    <w:uiPriority w:val="59"/>
    <w:rsid w:val="0098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D0DC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D0DCB"/>
    <w:rPr>
      <w:rFonts w:ascii="Times New Roman" w:eastAsia="Times New Roman" w:hAnsi="Times New Roman" w:cs="Times New Roman"/>
      <w:sz w:val="20"/>
      <w:szCs w:val="20"/>
      <w:lang w:eastAsia="en-GB"/>
    </w:rPr>
  </w:style>
  <w:style w:type="character" w:styleId="FootnoteReference">
    <w:name w:val="footnote reference"/>
    <w:semiHidden/>
    <w:unhideWhenUsed/>
    <w:rsid w:val="00ED0DCB"/>
    <w:rPr>
      <w:vertAlign w:val="superscript"/>
    </w:rPr>
  </w:style>
  <w:style w:type="paragraph" w:styleId="BalloonText">
    <w:name w:val="Balloon Text"/>
    <w:basedOn w:val="Normal"/>
    <w:link w:val="BalloonTextChar"/>
    <w:uiPriority w:val="99"/>
    <w:semiHidden/>
    <w:unhideWhenUsed/>
    <w:rsid w:val="00FC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45"/>
    <w:rPr>
      <w:rFonts w:ascii="Tahoma" w:hAnsi="Tahoma" w:cs="Tahoma"/>
      <w:sz w:val="16"/>
      <w:szCs w:val="16"/>
    </w:rPr>
  </w:style>
  <w:style w:type="table" w:styleId="TableGrid">
    <w:name w:val="Table Grid"/>
    <w:basedOn w:val="TableNormal"/>
    <w:uiPriority w:val="59"/>
    <w:rsid w:val="0098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2622">
      <w:bodyDiv w:val="1"/>
      <w:marLeft w:val="0"/>
      <w:marRight w:val="0"/>
      <w:marTop w:val="0"/>
      <w:marBottom w:val="0"/>
      <w:divBdr>
        <w:top w:val="none" w:sz="0" w:space="0" w:color="auto"/>
        <w:left w:val="none" w:sz="0" w:space="0" w:color="auto"/>
        <w:bottom w:val="none" w:sz="0" w:space="0" w:color="auto"/>
        <w:right w:val="none" w:sz="0" w:space="0" w:color="auto"/>
      </w:divBdr>
    </w:div>
    <w:div w:id="15326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Julie</cp:lastModifiedBy>
  <cp:revision>2</cp:revision>
  <cp:lastPrinted>2017-12-04T17:26:00Z</cp:lastPrinted>
  <dcterms:created xsi:type="dcterms:W3CDTF">2018-01-31T12:59:00Z</dcterms:created>
  <dcterms:modified xsi:type="dcterms:W3CDTF">2018-01-31T12:59:00Z</dcterms:modified>
</cp:coreProperties>
</file>